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9"/>
        </w:tabs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2-2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2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年度“华南农业大学五四红旗团支部（标兵）”申报表</w:t>
      </w:r>
      <w:bookmarkStart w:id="0" w:name="_GoBack"/>
      <w:bookmarkEnd w:id="0"/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911"/>
        <w:gridCol w:w="257"/>
        <w:gridCol w:w="774"/>
        <w:gridCol w:w="386"/>
        <w:gridCol w:w="514"/>
        <w:gridCol w:w="806"/>
        <w:gridCol w:w="727"/>
        <w:gridCol w:w="486"/>
        <w:gridCol w:w="681"/>
        <w:gridCol w:w="1219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团支部全称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“智慧团建”系统组织ID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教育评议制度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年度注册制度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基本情况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组织成立时间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总数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团员人数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年“推优”入党人数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平均业务及时响应率（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团员连续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个月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（截至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.04.01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本级及所有下级团组织书记规范配备率（截至202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.04.01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本级及所有下级团组织党史学习教育完成率（截至202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.04.01）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支部（总支）团员在“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志愿”平台有服务时长的志愿者数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“两制”完成率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年对标定级结果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30"/>
                <w:szCs w:val="21"/>
              </w:rPr>
              <w:t>近年来开展的主要活动情况以及取得的效果</w:t>
            </w:r>
          </w:p>
          <w:p>
            <w:pPr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30"/>
                <w:szCs w:val="21"/>
              </w:rPr>
              <w:t>（800-1000字）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1.请勿随意更改申报表格式，保持本表在两页纸内，纸质版请双面打印。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2.查看到本级及下级团组织202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年3月至202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年3月“本级及下级业务响应率”数据，按照以下公式计算得出“平均业务及时响应率”：</w:t>
      </w:r>
    </w:p>
    <w:p>
      <w:pPr>
        <w:adjustRightInd w:val="0"/>
        <w:snapToGrid w:val="0"/>
        <w:spacing w:line="360" w:lineRule="auto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w:r>
        <w:rPr>
          <w:rFonts w:eastAsia="方正仿宋_GBK" w:cs="方正仿宋_GBK"/>
          <w:position w:val="-26"/>
          <w:szCs w:val="21"/>
        </w:rPr>
        <w:object>
          <v:shape id="_x0000_i1025" o:spt="75" type="#_x0000_t75" style="height:30.75pt;width:225.8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申报人（单位）所在团组织查询的每个月数据中，如“需响应申请总数”为零，则该月的“及时响应率”不纳入计算范围。如：XX团总支2020年1月的需响应申请总数为0，则按照公式直接计算其他月份的及时响应率平均值即可。</w:t>
      </w:r>
    </w:p>
    <w:p>
      <w:pPr>
        <w:adjustRightInd w:val="0"/>
        <w:snapToGrid w:val="0"/>
        <w:jc w:val="left"/>
        <w:rPr>
          <w:rFonts w:eastAsia="方正仿宋_GBK" w:cs="方正仿宋_GBK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</w:rPr>
        <w:t xml:space="preserve"> 团员连续</w:t>
      </w:r>
      <w:r>
        <w:rPr>
          <w:rFonts w:eastAsia="方正仿宋_GBK"/>
          <w:szCs w:val="21"/>
        </w:rPr>
        <w:t>3</w:t>
      </w:r>
      <w:r>
        <w:rPr>
          <w:rFonts w:hint="eastAsia" w:eastAsia="方正仿宋_GBK" w:cs="方正仿宋_GBK"/>
          <w:szCs w:val="21"/>
        </w:rPr>
        <w:t>个月未交团费比例</w:t>
      </w:r>
      <w:r>
        <w:rPr>
          <w:rFonts w:eastAsia="方正仿宋_GBK" w:cs="方正仿宋_GBK"/>
          <w:szCs w:val="21"/>
        </w:rPr>
        <w:t>=</w:t>
      </w:r>
      <w:r>
        <w:rPr>
          <w:rFonts w:eastAsia="方正仿宋_GBK" w:cs="方正仿宋_GBK"/>
          <w:position w:val="-26"/>
          <w:szCs w:val="21"/>
        </w:rPr>
        <w:object>
          <v:shape id="_x0000_i1026" o:spt="75" type="#_x0000_t75" style="height:30.75pt;width:199.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adjustRightInd w:val="0"/>
        <w:snapToGrid w:val="0"/>
        <w:jc w:val="left"/>
        <w:rPr>
          <w:rFonts w:cs="宋体" w:asciiTheme="minorEastAsia" w:hAnsiTheme="minorEastAsia" w:eastAsiaTheme="minorEastAsia"/>
          <w:szCs w:val="21"/>
        </w:rPr>
      </w:pPr>
    </w:p>
    <w:p>
      <w:pPr>
        <w:adjustRightInd w:val="0"/>
        <w:snapToGrid w:val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eastAsia="方正仿宋_GBK" w:cs="方正仿宋_GBK"/>
          <w:szCs w:val="21"/>
        </w:rPr>
        <w:t xml:space="preserve"> 本级及下级团组织书记规范配备率</w:t>
      </w:r>
      <w:r>
        <w:rPr>
          <w:rFonts w:eastAsia="方正仿宋_GBK" w:cs="方正仿宋_GBK"/>
          <w:szCs w:val="21"/>
        </w:rPr>
        <w:t>=</w:t>
      </w:r>
      <w:r>
        <w:rPr>
          <w:rFonts w:eastAsia="方正仿宋_GBK" w:cs="方正仿宋_GBK"/>
          <w:position w:val="-26"/>
          <w:szCs w:val="21"/>
        </w:rPr>
        <w:object>
          <v:shape id="_x0000_i1027" o:spt="75" type="#_x0000_t75" style="height:30.75pt;width:138.4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团干部配备率基本要求：本级及下级所有团组织书记配备率不低于85%、班子成员配备率（团委本级不少于7人、团工委本级不少于3人、团（总）支部不少于1人）不低于80%。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6D00521-6D3C-4A1F-829E-343995F27D4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46D5738-09DD-4545-8460-792375C196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jc1NGFiZWIyMTIzNTQ1MzdhNjBiMjQ5M2Y4M2YifQ=="/>
  </w:docVars>
  <w:rsids>
    <w:rsidRoot w:val="3BD529C5"/>
    <w:rsid w:val="1AE016FE"/>
    <w:rsid w:val="1E6F1C41"/>
    <w:rsid w:val="3BD5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722</Characters>
  <Lines>0</Lines>
  <Paragraphs>0</Paragraphs>
  <TotalTime>3</TotalTime>
  <ScaleCrop>false</ScaleCrop>
  <LinksUpToDate>false</LinksUpToDate>
  <CharactersWithSpaces>775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2023-04-02T09:18:00Z</dcterms:created>
  <dc:creator>骆</dc:creator>
  <cp:lastModifiedBy>骆</cp:lastModifiedBy>
  <dcterms:modified xsi:type="dcterms:W3CDTF">2023-04-02T11:15:42Z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25083D2975B74C909265A80AE2B15618</vt:lpwstr>
  </property>
</Properties>
</file>